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0" w:line="440" w:lineRule="exact"/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北京大学临床肿瘤学院奖励评优标准</w:t>
      </w:r>
    </w:p>
    <w:bookmarkEnd w:id="0"/>
    <w:tbl>
      <w:tblPr>
        <w:tblStyle w:val="12"/>
        <w:tblpPr w:leftFromText="180" w:rightFromText="180" w:vertAnchor="text" w:horzAnchor="page" w:tblpX="1367" w:tblpY="561"/>
        <w:tblOverlap w:val="never"/>
        <w:tblW w:w="99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3167"/>
        <w:gridCol w:w="1860"/>
        <w:gridCol w:w="3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52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5027" w:type="dxa"/>
            <w:gridSpan w:val="2"/>
          </w:tcPr>
          <w:p>
            <w:pPr>
              <w:spacing w:line="300" w:lineRule="auto"/>
            </w:pPr>
            <w:r>
              <w:rPr>
                <w:rFonts w:hint="eastAsia"/>
              </w:rPr>
              <w:t>分值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527" w:type="dxa"/>
            <w:vMerge w:val="restart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学术成绩</w:t>
            </w: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学术会议发言（国际性）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+10/次</w:t>
            </w:r>
          </w:p>
        </w:tc>
        <w:tc>
          <w:tcPr>
            <w:tcW w:w="3360" w:type="dxa"/>
            <w:vMerge w:val="restart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不同会议题目相同，仅计算一次最高分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相同会议不同题目，仅计算一次最高分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根据主办方确定会议性质，需提供主办方相关证明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学术会议发言（全国性）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+4/次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学术会议受邀、壁报（国际性）</w:t>
            </w:r>
          </w:p>
        </w:tc>
        <w:tc>
          <w:tcPr>
            <w:tcW w:w="1860" w:type="dxa"/>
          </w:tcPr>
          <w:p>
            <w:r>
              <w:rPr>
                <w:rFonts w:hint="eastAsia"/>
              </w:rPr>
              <w:t>+5/次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学术</w:t>
            </w:r>
            <w:r>
              <w:t>会议</w:t>
            </w:r>
            <w:r>
              <w:rPr>
                <w:rFonts w:hint="eastAsia"/>
              </w:rPr>
              <w:t>受邀、壁报（全国性）</w:t>
            </w:r>
          </w:p>
        </w:tc>
        <w:tc>
          <w:tcPr>
            <w:tcW w:w="1860" w:type="dxa"/>
          </w:tcPr>
          <w:p>
            <w:r>
              <w:rPr>
                <w:rFonts w:hint="eastAsia"/>
              </w:rPr>
              <w:t>+1/次</w:t>
            </w:r>
          </w:p>
        </w:tc>
        <w:tc>
          <w:tcPr>
            <w:tcW w:w="3360" w:type="dxa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最多加</w:t>
            </w:r>
            <w:r>
              <w:rPr>
                <w:rFonts w:hint="eastAsia"/>
              </w:rPr>
              <w:t>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国内统计源期刊发表综述等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+4/篇</w:t>
            </w:r>
          </w:p>
        </w:tc>
        <w:tc>
          <w:tcPr>
            <w:tcW w:w="3360" w:type="dxa"/>
            <w:vMerge w:val="restart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发表文章参照“北京大学医学部研究生在学期间发表论著的规定”执行（N为第一作者人数</w:t>
            </w:r>
            <w:r>
              <w:rPr>
                <w:rFonts w:hint="eastAsia"/>
              </w:rPr>
              <w:t>）；以“接受”为准。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仅计算第一作者的文章。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国内统计源期刊发表论著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+10/篇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SCI发</w:t>
            </w:r>
            <w:r>
              <w:rPr>
                <w:color w:val="auto"/>
              </w:rPr>
              <w:t>表综述</w:t>
            </w:r>
            <w:r>
              <w:rPr>
                <w:rFonts w:hint="eastAsia"/>
                <w:color w:val="auto"/>
              </w:rPr>
              <w:t>等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+10/篇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SCI发表论著 IF＜2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10+IF</w:t>
            </w:r>
            <w:r>
              <w:rPr>
                <w:color w:val="auto"/>
              </w:rPr>
              <w:t>/N</w:t>
            </w:r>
            <w:r>
              <w:rPr>
                <w:rFonts w:hint="eastAsia"/>
                <w:color w:val="auto"/>
              </w:rPr>
              <w:t>^2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SCI发表论著 2≤IF＜5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10+（IF</w:t>
            </w:r>
            <w:r>
              <w:rPr>
                <w:color w:val="auto"/>
              </w:rPr>
              <w:t>/N</w:t>
            </w:r>
            <w:r>
              <w:rPr>
                <w:rFonts w:hint="eastAsia"/>
                <w:color w:val="auto"/>
              </w:rPr>
              <w:t>）^2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SCI发表论著 5≤IF＜10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10+IF^2</w:t>
            </w:r>
            <w:r>
              <w:rPr>
                <w:color w:val="auto"/>
              </w:rPr>
              <w:t>/N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SCI发表论著 IF≥10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10+IF^2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参编书籍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+6/部</w:t>
            </w:r>
          </w:p>
        </w:tc>
        <w:tc>
          <w:tcPr>
            <w:tcW w:w="3360" w:type="dxa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外文翻译形式，分数乘0.5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27" w:type="dxa"/>
            <w:vMerge w:val="restart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表彰</w:t>
            </w: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+20/项</w:t>
            </w:r>
          </w:p>
        </w:tc>
        <w:tc>
          <w:tcPr>
            <w:tcW w:w="3360" w:type="dxa"/>
            <w:vMerge w:val="restart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非学业类表彰，相应等级分数乘0.6（仅计算一次最高分）</w:t>
            </w:r>
            <w:r>
              <w:rPr>
                <w:rFonts w:hint="eastAsia"/>
              </w:rPr>
              <w:t>；集体活动</w:t>
            </w:r>
            <w:r>
              <w:rPr>
                <w:rFonts w:hint="eastAsia"/>
              </w:rPr>
              <w:t>（参加人数</w:t>
            </w:r>
            <w:r>
              <w:rPr>
                <w:rFonts w:hint="eastAsia"/>
              </w:rPr>
              <w:t>&gt;5人）获奖，</w:t>
            </w:r>
            <w:r>
              <w:rPr>
                <w:rFonts w:hint="eastAsia"/>
              </w:rPr>
              <w:t>相应等级分数乘0.6（仅计算一次最高分）</w:t>
            </w:r>
            <w:r>
              <w:rPr>
                <w:rFonts w:hint="eastAsia"/>
              </w:rPr>
              <w:t>；学会性表彰限全国二级以上学会</w:t>
            </w:r>
            <w:r>
              <w:rPr>
                <w:rFonts w:hint="eastAsia"/>
              </w:rPr>
              <w:t>。</w:t>
            </w:r>
          </w:p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获得表彰与申请本次表彰中所用材料不重复计算，按最高分计一次。同一次奖励评优中获得多项表彰，按最高级别计一次。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市级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+14/项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校级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+10/项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院级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</w:t>
            </w:r>
            <w:r>
              <w:t>6</w:t>
            </w:r>
            <w:r>
              <w:rPr>
                <w:rFonts w:hint="eastAsia"/>
              </w:rPr>
              <w:t>/项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1527" w:type="dxa"/>
            <w:vMerge w:val="restart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学习情况</w:t>
            </w:r>
          </w:p>
        </w:tc>
        <w:tc>
          <w:tcPr>
            <w:tcW w:w="3167" w:type="dxa"/>
            <w:vMerge w:val="restart"/>
          </w:tcPr>
          <w:p>
            <w:pPr>
              <w:spacing w:line="300" w:lineRule="auto"/>
            </w:pPr>
            <w:r>
              <w:rPr>
                <w:rFonts w:hint="eastAsia"/>
              </w:rPr>
              <w:t>参加学习课程的60%以上成绩优秀（</w:t>
            </w:r>
            <w:r>
              <w:rPr>
                <w:rFonts w:hint="eastAsia" w:ascii="宋体" w:hAnsi="宋体"/>
              </w:rPr>
              <w:t>≥</w:t>
            </w:r>
            <w:r>
              <w:rPr>
                <w:rFonts w:hint="eastAsia"/>
              </w:rPr>
              <w:t>85分）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+10（</w:t>
            </w:r>
            <w:r>
              <w:t>科研型）</w:t>
            </w:r>
          </w:p>
        </w:tc>
        <w:tc>
          <w:tcPr>
            <w:tcW w:w="3360" w:type="dxa"/>
            <w:vMerge w:val="restart"/>
          </w:tcPr>
          <w:p>
            <w:pPr>
              <w:spacing w:line="300" w:lineRule="auto"/>
            </w:pPr>
            <w:r>
              <w:rPr>
                <w:rFonts w:hint="eastAsia" w:ascii="宋体" w:hAnsi="宋体"/>
              </w:rPr>
              <w:t>只计算入学第一年成绩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  <w:vMerge w:val="continue"/>
          </w:tcPr>
          <w:p>
            <w:pPr>
              <w:spacing w:line="300" w:lineRule="auto"/>
            </w:pP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+3（</w:t>
            </w:r>
            <w:r>
              <w:t>临床型</w:t>
            </w:r>
            <w:r>
              <w:rPr>
                <w:rFonts w:hint="eastAsia"/>
              </w:rPr>
              <w:t>）</w:t>
            </w:r>
          </w:p>
        </w:tc>
        <w:tc>
          <w:tcPr>
            <w:tcW w:w="3360" w:type="dxa"/>
            <w:vMerge w:val="continue"/>
          </w:tcPr>
          <w:p>
            <w:pPr>
              <w:spacing w:line="30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60%以上的科室出</w:t>
            </w:r>
            <w:r>
              <w:t>科考核</w:t>
            </w:r>
            <w:r>
              <w:rPr>
                <w:rFonts w:hint="eastAsia"/>
              </w:rPr>
              <w:t>成绩优秀（</w:t>
            </w:r>
            <w:r>
              <w:rPr>
                <w:rFonts w:hint="eastAsia" w:ascii="宋体" w:hAnsi="宋体"/>
              </w:rPr>
              <w:t>≥</w:t>
            </w:r>
            <w:r>
              <w:rPr>
                <w:rFonts w:hint="eastAsia"/>
              </w:rPr>
              <w:t>85分）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+</w:t>
            </w:r>
            <w:r>
              <w:t>7</w:t>
            </w:r>
            <w:r>
              <w:rPr>
                <w:rFonts w:hint="eastAsia"/>
              </w:rPr>
              <w:t>（</w:t>
            </w:r>
            <w:r>
              <w:t>临床型</w:t>
            </w:r>
            <w:r>
              <w:rPr>
                <w:rFonts w:hint="eastAsia"/>
              </w:rPr>
              <w:t>）</w:t>
            </w:r>
          </w:p>
        </w:tc>
        <w:tc>
          <w:tcPr>
            <w:tcW w:w="3360" w:type="dxa"/>
          </w:tcPr>
          <w:p>
            <w:r>
              <w:rPr>
                <w:rFonts w:hint="eastAsia" w:ascii="Helvetica" w:hAnsi="Helvetica" w:cs="Helvetica"/>
              </w:rPr>
              <w:t>缺出</w:t>
            </w:r>
            <w:r>
              <w:rPr>
                <w:rFonts w:ascii="Helvetica" w:hAnsi="Helvetica" w:cs="Helvetica"/>
              </w:rPr>
              <w:t>科</w:t>
            </w:r>
            <w:r>
              <w:rPr>
                <w:rFonts w:hint="eastAsia" w:ascii="Helvetica" w:hAnsi="Helvetica" w:cs="Helvetica"/>
              </w:rPr>
              <w:t>考核一次，计为0分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1527" w:type="dxa"/>
            <w:vMerge w:val="continue"/>
            <w:vAlign w:val="center"/>
          </w:tcPr>
          <w:p>
            <w:pPr>
              <w:spacing w:line="300" w:lineRule="auto"/>
            </w:pP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学位课程成绩不合格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单项否决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</w:trPr>
        <w:tc>
          <w:tcPr>
            <w:tcW w:w="152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社会工作</w:t>
            </w:r>
          </w:p>
        </w:tc>
        <w:tc>
          <w:tcPr>
            <w:tcW w:w="3167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热心为同学服务，积极参加医院</w:t>
            </w:r>
            <w:r>
              <w:t>组织的</w:t>
            </w:r>
            <w:r>
              <w:rPr>
                <w:rFonts w:hint="eastAsia"/>
              </w:rPr>
              <w:t>各种活动；</w:t>
            </w:r>
            <w:r>
              <w:t>积极参加社会公益事宜</w:t>
            </w:r>
          </w:p>
        </w:tc>
        <w:tc>
          <w:tcPr>
            <w:tcW w:w="18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+（2-6）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学生</w:t>
            </w:r>
            <w:r>
              <w:t>干部</w:t>
            </w:r>
            <w:r>
              <w:rPr>
                <w:rFonts w:hint="eastAsia"/>
              </w:rPr>
              <w:t>限</w:t>
            </w:r>
            <w:r>
              <w:t>任职</w:t>
            </w:r>
            <w:r>
              <w:rPr>
                <w:rFonts w:hint="eastAsia"/>
              </w:rPr>
              <w:t>于</w:t>
            </w:r>
            <w:r>
              <w:t>肿瘤医院</w:t>
            </w:r>
            <w:r>
              <w:rPr>
                <w:rFonts w:hint="eastAsia"/>
              </w:rPr>
              <w:t>，</w:t>
            </w:r>
            <w:r>
              <w:t>且</w:t>
            </w:r>
            <w:r>
              <w:rPr>
                <w:rFonts w:hint="eastAsia"/>
              </w:rPr>
              <w:t>须</w:t>
            </w:r>
            <w:r>
              <w:t>通过中期考核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1527" w:type="dxa"/>
            <w:vMerge w:val="restart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处分</w:t>
            </w: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学业处理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单项否决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包括延缓答辩、允许自动退学、予以退学、取消学位等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</w:trPr>
        <w:tc>
          <w:tcPr>
            <w:tcW w:w="1527" w:type="dxa"/>
            <w:vMerge w:val="continue"/>
          </w:tcPr>
          <w:p>
            <w:pPr>
              <w:spacing w:line="300" w:lineRule="auto"/>
            </w:pP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纪律处分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单项否决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包括警告、严重警告、记过、留校查看、开除学籍等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152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日常规范</w:t>
            </w:r>
          </w:p>
        </w:tc>
        <w:tc>
          <w:tcPr>
            <w:tcW w:w="3167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及时提交学习期间有关资料</w:t>
            </w:r>
          </w:p>
        </w:tc>
        <w:tc>
          <w:tcPr>
            <w:tcW w:w="1860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+5</w:t>
            </w:r>
          </w:p>
        </w:tc>
        <w:tc>
          <w:tcPr>
            <w:tcW w:w="3360" w:type="dxa"/>
          </w:tcPr>
          <w:p>
            <w:pPr>
              <w:spacing w:line="300" w:lineRule="auto"/>
            </w:pPr>
            <w:r>
              <w:rPr>
                <w:rFonts w:hint="eastAsia"/>
              </w:rPr>
              <w:t>按时在教学</w:t>
            </w:r>
            <w:r>
              <w:t>网</w:t>
            </w:r>
            <w:r>
              <w:rPr>
                <w:rFonts w:hint="eastAsia"/>
              </w:rPr>
              <w:t>提交相关记录（包括</w:t>
            </w:r>
            <w:r>
              <w:t>临床培训，</w:t>
            </w:r>
            <w:r>
              <w:rPr>
                <w:rFonts w:hint="eastAsia"/>
              </w:rPr>
              <w:t>课程评价，</w:t>
            </w:r>
            <w:r>
              <w:t>开题等）</w:t>
            </w:r>
          </w:p>
        </w:tc>
      </w:tr>
    </w:tbl>
    <w:p/>
    <w:p>
      <w:pPr>
        <w:rPr>
          <w:color w:val="FF0000"/>
        </w:rPr>
      </w:pPr>
      <w:r>
        <w:rPr>
          <w:rFonts w:hint="eastAsia"/>
          <w:color w:val="FF0000"/>
        </w:rPr>
        <w:t>注：本次修订内容：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t>、</w:t>
      </w:r>
      <w:r>
        <w:rPr>
          <w:rFonts w:hint="eastAsia"/>
        </w:rPr>
        <w:t>学术成绩类</w:t>
      </w:r>
      <w:r>
        <w:t>别</w:t>
      </w:r>
    </w:p>
    <w:p>
      <w:pPr>
        <w:ind w:firstLine="420"/>
      </w:pPr>
      <w:r>
        <w:rPr>
          <w:rFonts w:hint="eastAsia"/>
        </w:rPr>
        <w:t>1、调整了“国内学术会议与国际学术会议”的定性。由“会议地点”确定会议性质改为由“会议主办方”确定会议性质。</w:t>
      </w:r>
    </w:p>
    <w:p>
      <w:pPr>
        <w:ind w:firstLine="420"/>
      </w:pPr>
      <w:r>
        <w:rPr>
          <w:rFonts w:hint="eastAsia"/>
        </w:rPr>
        <w:t>2、调整“学术会议”参会计分方式。“相同题目”与“同次会议多个题目”仅记一次最高分。</w:t>
      </w:r>
    </w:p>
    <w:p>
      <w:pPr>
        <w:ind w:firstLine="420"/>
      </w:pPr>
      <w:r>
        <w:rPr>
          <w:rFonts w:hint="eastAsia"/>
        </w:rPr>
        <w:t>3、增加“SCI发表综述”加分项。</w:t>
      </w:r>
    </w:p>
    <w:p>
      <w:pPr>
        <w:ind w:firstLine="420"/>
      </w:pPr>
      <w:r>
        <w:rPr>
          <w:rFonts w:hint="eastAsia"/>
        </w:rPr>
        <w:t>4、调整了“SCI计分公式”。SCI计分公式由原来一个公式调整为四个公式，分段计分。</w:t>
      </w:r>
    </w:p>
    <w:p>
      <w:pPr>
        <w:ind w:firstLine="420"/>
      </w:pPr>
      <w:r>
        <w:rPr>
          <w:rFonts w:hint="eastAsia"/>
        </w:rPr>
        <w:t>5、细化计分标准，仅计算“第一作者文章”。</w:t>
      </w:r>
    </w:p>
    <w:p>
      <w:r>
        <w:rPr>
          <w:rFonts w:hint="eastAsia"/>
        </w:rPr>
        <w:t>二</w:t>
      </w:r>
      <w:r>
        <w:t>、</w:t>
      </w:r>
      <w:r>
        <w:rPr>
          <w:rFonts w:hint="eastAsia"/>
        </w:rPr>
        <w:t>表彰类别</w:t>
      </w:r>
    </w:p>
    <w:p>
      <w:pPr>
        <w:ind w:firstLine="420"/>
      </w:pPr>
      <w:r>
        <w:rPr>
          <w:rFonts w:hint="eastAsia"/>
        </w:rPr>
        <w:t>1、修订“非学业类表彰”加分标准，多项“非学业类表彰”仅计算一次最高分。</w:t>
      </w:r>
    </w:p>
    <w:p>
      <w:pPr>
        <w:ind w:firstLine="420"/>
      </w:pPr>
      <w:r>
        <w:rPr>
          <w:rFonts w:hint="eastAsia"/>
        </w:rPr>
        <w:t>2、修订“集体活动类表彰”加分标准，多项“集体活动类表彰”仅计算一次最高分。</w:t>
      </w:r>
    </w:p>
    <w:p>
      <w:r>
        <w:rPr>
          <w:rFonts w:hint="eastAsia"/>
        </w:rPr>
        <w:t>三</w:t>
      </w:r>
      <w:r>
        <w:t>、</w:t>
      </w:r>
      <w:r>
        <w:rPr>
          <w:rFonts w:hint="eastAsia"/>
        </w:rPr>
        <w:t>重复计算方面：</w:t>
      </w:r>
    </w:p>
    <w:p>
      <w:pPr>
        <w:ind w:firstLine="420"/>
      </w:pPr>
      <w:r>
        <w:rPr>
          <w:rFonts w:hint="eastAsia"/>
        </w:rPr>
        <w:t>1、“本次表彰所用材料”与“本次所</w:t>
      </w:r>
      <w:r>
        <w:t>获</w:t>
      </w:r>
      <w:r>
        <w:rPr>
          <w:rFonts w:hint="eastAsia"/>
        </w:rPr>
        <w:t>表彰”同时用于下次奖励评优申请，则两次不重复计算，仅按最高分记一次。</w:t>
      </w:r>
    </w:p>
    <w:p>
      <w:pPr>
        <w:ind w:firstLine="420"/>
        <w:rPr>
          <w:color w:val="FF0000"/>
        </w:rPr>
      </w:pPr>
      <w:r>
        <w:rPr>
          <w:rFonts w:hint="eastAsia"/>
        </w:rPr>
        <w:t>2、同一次奖励评优中获得多项表彰，按最高级别计一次（例：北京市三好学生与北京大学三好学生同时获得，仅计算“北京市三好学生”分数）。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A235A"/>
    <w:multiLevelType w:val="multilevel"/>
    <w:tmpl w:val="1F8A235A"/>
    <w:lvl w:ilvl="0" w:tentative="0">
      <w:start w:val="1"/>
      <w:numFmt w:val="chineseCountingThousand"/>
      <w:pStyle w:val="3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2.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32297CC5"/>
    <w:multiLevelType w:val="multilevel"/>
    <w:tmpl w:val="32297CC5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95B73"/>
    <w:rsid w:val="00574F76"/>
    <w:rsid w:val="006B48BD"/>
    <w:rsid w:val="00805C56"/>
    <w:rsid w:val="0082380A"/>
    <w:rsid w:val="008738A2"/>
    <w:rsid w:val="00913CB6"/>
    <w:rsid w:val="00960F75"/>
    <w:rsid w:val="0098482F"/>
    <w:rsid w:val="00D07E66"/>
    <w:rsid w:val="00D344BF"/>
    <w:rsid w:val="00E527EB"/>
    <w:rsid w:val="00FD11D2"/>
    <w:rsid w:val="11E95B73"/>
    <w:rsid w:val="14965999"/>
    <w:rsid w:val="16236EDB"/>
    <w:rsid w:val="2BA7443B"/>
    <w:rsid w:val="2FB7041A"/>
    <w:rsid w:val="380F24AD"/>
    <w:rsid w:val="4E63778D"/>
    <w:rsid w:val="5881088F"/>
    <w:rsid w:val="5B4A36DC"/>
    <w:rsid w:val="62D95A4C"/>
    <w:rsid w:val="74C2732E"/>
    <w:rsid w:val="79C77C63"/>
    <w:rsid w:val="7B7F5B11"/>
    <w:rsid w:val="7FDD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1"/>
      <w:lang w:val="en-US" w:eastAsia="zh-CN" w:bidi="ar-SA"/>
    </w:rPr>
  </w:style>
  <w:style w:type="paragraph" w:styleId="3">
    <w:name w:val="heading 1"/>
    <w:basedOn w:val="2"/>
    <w:next w:val="2"/>
    <w:link w:val="15"/>
    <w:qFormat/>
    <w:uiPriority w:val="9"/>
    <w:pPr>
      <w:keepNext/>
      <w:keepLines/>
      <w:numPr>
        <w:ilvl w:val="0"/>
        <w:numId w:val="1"/>
      </w:numPr>
      <w:spacing w:before="25" w:beforeLines="25" w:after="50" w:afterLines="50" w:line="240" w:lineRule="auto"/>
      <w:outlineLvl w:val="0"/>
    </w:pPr>
    <w:rPr>
      <w:rFonts w:eastAsiaTheme="minorEastAsia"/>
      <w:b/>
      <w:bCs/>
      <w:kern w:val="44"/>
      <w:sz w:val="28"/>
      <w:szCs w:val="44"/>
    </w:rPr>
  </w:style>
  <w:style w:type="paragraph" w:styleId="4">
    <w:name w:val="heading 2"/>
    <w:basedOn w:val="2"/>
    <w:next w:val="2"/>
    <w:link w:val="16"/>
    <w:unhideWhenUsed/>
    <w:qFormat/>
    <w:uiPriority w:val="9"/>
    <w:pPr>
      <w:keepNext/>
      <w:keepLines/>
      <w:numPr>
        <w:ilvl w:val="1"/>
        <w:numId w:val="2"/>
      </w:numPr>
      <w:spacing w:line="240" w:lineRule="auto"/>
      <w:outlineLvl w:val="1"/>
    </w:pPr>
    <w:rPr>
      <w:rFonts w:cs="Times New Roman"/>
      <w:b/>
      <w:bCs/>
      <w:szCs w:val="32"/>
    </w:rPr>
  </w:style>
  <w:style w:type="paragraph" w:styleId="5">
    <w:name w:val="heading 3"/>
    <w:basedOn w:val="2"/>
    <w:next w:val="2"/>
    <w:link w:val="17"/>
    <w:qFormat/>
    <w:uiPriority w:val="9"/>
    <w:pPr>
      <w:keepNext/>
      <w:keepLines/>
      <w:numPr>
        <w:ilvl w:val="2"/>
        <w:numId w:val="2"/>
      </w:numPr>
      <w:spacing w:before="312" w:beforeLines="100" w:after="156" w:afterLines="50" w:line="240" w:lineRule="auto"/>
      <w:outlineLvl w:val="2"/>
    </w:pPr>
    <w:rPr>
      <w:rFonts w:eastAsiaTheme="minorEastAsia"/>
      <w:bCs/>
      <w:szCs w:val="32"/>
    </w:rPr>
  </w:style>
  <w:style w:type="paragraph" w:styleId="6">
    <w:name w:val="heading 4"/>
    <w:basedOn w:val="2"/>
    <w:next w:val="2"/>
    <w:link w:val="18"/>
    <w:unhideWhenUsed/>
    <w:qFormat/>
    <w:uiPriority w:val="9"/>
    <w:pPr>
      <w:keepNext/>
      <w:keepLines/>
      <w:tabs>
        <w:tab w:val="left" w:pos="2880"/>
      </w:tabs>
      <w:spacing w:before="280" w:after="290" w:line="376" w:lineRule="auto"/>
      <w:ind w:left="2880" w:firstLine="480"/>
      <w:outlineLvl w:val="3"/>
    </w:pPr>
    <w:rPr>
      <w:rFonts w:asciiTheme="majorHAnsi" w:hAnsiTheme="majorHAnsi" w:eastAsiaTheme="majorEastAsia" w:cstheme="majorBidi"/>
      <w:bCs/>
      <w:szCs w:val="28"/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7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20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10">
    <w:name w:val="Title"/>
    <w:basedOn w:val="1"/>
    <w:next w:val="2"/>
    <w:link w:val="19"/>
    <w:qFormat/>
    <w:uiPriority w:val="10"/>
    <w:pPr>
      <w:spacing w:before="100" w:beforeLines="100" w:after="50" w:afterLines="50" w:line="240" w:lineRule="auto"/>
      <w:jc w:val="center"/>
      <w:outlineLvl w:val="0"/>
    </w:pPr>
    <w:rPr>
      <w:rFonts w:cs="Times New Roman"/>
      <w:b/>
      <w:bCs/>
      <w:sz w:val="36"/>
      <w:szCs w:val="32"/>
    </w:rPr>
  </w:style>
  <w:style w:type="character" w:customStyle="1" w:styleId="13">
    <w:name w:val="页眉 字符"/>
    <w:basedOn w:val="11"/>
    <w:link w:val="8"/>
    <w:uiPriority w:val="0"/>
    <w:rPr>
      <w:kern w:val="2"/>
      <w:sz w:val="18"/>
      <w:szCs w:val="18"/>
    </w:rPr>
  </w:style>
  <w:style w:type="character" w:customStyle="1" w:styleId="14">
    <w:name w:val="页脚 字符"/>
    <w:basedOn w:val="11"/>
    <w:link w:val="7"/>
    <w:uiPriority w:val="0"/>
    <w:rPr>
      <w:kern w:val="2"/>
      <w:sz w:val="18"/>
      <w:szCs w:val="18"/>
    </w:rPr>
  </w:style>
  <w:style w:type="character" w:customStyle="1" w:styleId="15">
    <w:name w:val="标题 1 字符"/>
    <w:link w:val="3"/>
    <w:uiPriority w:val="9"/>
    <w:rPr>
      <w:rFonts w:ascii="Times New Roman" w:hAnsi="Times New Roman"/>
      <w:b/>
      <w:bCs/>
      <w:kern w:val="44"/>
      <w:sz w:val="28"/>
      <w:szCs w:val="44"/>
    </w:rPr>
  </w:style>
  <w:style w:type="character" w:customStyle="1" w:styleId="16">
    <w:name w:val="标题 2 字符"/>
    <w:link w:val="4"/>
    <w:semiHidden/>
    <w:uiPriority w:val="9"/>
    <w:rPr>
      <w:rFonts w:ascii="Times New Roman" w:hAnsi="Times New Roman" w:eastAsia="宋体" w:cs="Times New Roman"/>
      <w:b/>
      <w:bCs/>
      <w:sz w:val="24"/>
      <w:szCs w:val="32"/>
    </w:rPr>
  </w:style>
  <w:style w:type="character" w:customStyle="1" w:styleId="17">
    <w:name w:val="标题 3 字符"/>
    <w:link w:val="5"/>
    <w:uiPriority w:val="9"/>
    <w:rPr>
      <w:rFonts w:ascii="Times New Roman" w:hAnsi="Times New Roman"/>
      <w:bCs/>
      <w:sz w:val="24"/>
      <w:szCs w:val="32"/>
    </w:rPr>
  </w:style>
  <w:style w:type="character" w:customStyle="1" w:styleId="18">
    <w:name w:val="标题 4 字符"/>
    <w:basedOn w:val="11"/>
    <w:link w:val="6"/>
    <w:semiHidden/>
    <w:uiPriority w:val="9"/>
    <w:rPr>
      <w:rFonts w:asciiTheme="majorHAnsi" w:hAnsiTheme="majorHAnsi" w:eastAsiaTheme="majorEastAsia" w:cstheme="majorBidi"/>
      <w:bCs/>
      <w:sz w:val="24"/>
      <w:szCs w:val="28"/>
    </w:rPr>
  </w:style>
  <w:style w:type="character" w:customStyle="1" w:styleId="19">
    <w:name w:val="标题 字符"/>
    <w:link w:val="10"/>
    <w:uiPriority w:val="10"/>
    <w:rPr>
      <w:rFonts w:ascii="Times New Roman" w:hAnsi="Times New Roman" w:eastAsia="宋体" w:cs="Times New Roman"/>
      <w:b/>
      <w:bCs/>
      <w:sz w:val="36"/>
      <w:szCs w:val="32"/>
    </w:rPr>
  </w:style>
  <w:style w:type="character" w:customStyle="1" w:styleId="20">
    <w:name w:val="副标题 字符"/>
    <w:link w:val="9"/>
    <w:uiPriority w:val="11"/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pku</Company>
  <Pages>3</Pages>
  <Words>203</Words>
  <Characters>1163</Characters>
  <Lines>9</Lines>
  <Paragraphs>2</Paragraphs>
  <TotalTime>0</TotalTime>
  <ScaleCrop>false</ScaleCrop>
  <LinksUpToDate>false</LinksUpToDate>
  <CharactersWithSpaces>1364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2017-05-17T00:15:00Z</dcterms:created>
  <dc:creator>dell</dc:creator>
  <cp:lastModifiedBy>dell</cp:lastModifiedBy>
  <dcterms:modified xsi:type="dcterms:W3CDTF">2017-09-14T08:05:54Z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